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91DA1B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bookmarkStart w:id="0" w:name="_Hlk206439221"/>
    </w:p>
    <w:p w14:paraId="7E690BA8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1EF121AC">
      <w:pPr>
        <w:keepNext/>
        <w:keepLines/>
        <w:spacing w:before="260" w:after="260" w:line="416" w:lineRule="atLeast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3A57DDB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1EDA0125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30"/>
          <w:szCs w:val="30"/>
        </w:rPr>
      </w:pPr>
    </w:p>
    <w:p w14:paraId="2C6A9FF7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52"/>
          <w:szCs w:val="52"/>
        </w:rPr>
      </w:pPr>
      <w:r>
        <w:rPr>
          <w:rFonts w:hint="eastAsia" w:ascii="汉仪菱心体简" w:hAnsi="汉仪菱心体简" w:eastAsia="汉仪菱心体简" w:cs="汉仪菱心体简"/>
          <w:color w:val="6787B2"/>
          <w:sz w:val="84"/>
          <w:szCs w:val="84"/>
          <w:shd w:val="clear" w:color="auto" w:fill="FFFFFF"/>
        </w:rPr>
        <w:t>教案</w:t>
      </w:r>
    </w:p>
    <w:p w14:paraId="11879110">
      <w:pPr>
        <w:keepNext/>
        <w:keepLines/>
        <w:spacing w:before="260" w:after="260"/>
        <w:jc w:val="center"/>
        <w:outlineLvl w:val="1"/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  <w:t>社区护理</w:t>
      </w:r>
    </w:p>
    <w:p w14:paraId="18D4CD7C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color w:val="2E54A1" w:themeColor="accent1" w:themeShade="BF"/>
          <w:sz w:val="52"/>
          <w:szCs w:val="52"/>
        </w:rPr>
      </w:pPr>
      <w:r>
        <w:rPr>
          <w:rFonts w:hint="eastAsia" w:ascii="Times New Roman" w:hAnsi="Times New Roman"/>
          <w:b/>
          <w:bCs/>
          <w:color w:val="2E54A1" w:themeColor="accent1" w:themeShade="BF"/>
          <w:sz w:val="52"/>
          <w:szCs w:val="52"/>
        </w:rPr>
        <w:t>（第三版）</w:t>
      </w:r>
    </w:p>
    <w:p w14:paraId="36DBCA24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28E6947B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30DAFE83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C62BA89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</w:pPr>
    </w:p>
    <w:p w14:paraId="529AF688">
      <w:pPr>
        <w:keepNext/>
        <w:keepLines/>
        <w:spacing w:before="260" w:after="260"/>
        <w:jc w:val="center"/>
        <w:outlineLvl w:val="1"/>
        <w:rPr>
          <w:rFonts w:ascii="Times New Roman" w:hAnsi="Times New Roman"/>
          <w:b/>
          <w:bCs/>
          <w:sz w:val="28"/>
          <w:szCs w:val="28"/>
        </w:rPr>
      </w:pPr>
      <w:r>
        <w:rPr>
          <w:rFonts w:hint="eastAsia" w:ascii="Times New Roman" w:hAnsi="Times New Roman"/>
          <w:b/>
          <w:bCs/>
          <w:color w:val="7DDFD7" w:themeColor="accent5" w:themeTint="99"/>
          <w:sz w:val="28"/>
          <w:szCs w:val="28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北京出版社</w:t>
      </w:r>
    </w:p>
    <w:p w14:paraId="1DF0944D">
      <w:pPr>
        <w:keepNext/>
        <w:keepLines/>
        <w:spacing w:before="260" w:after="260"/>
        <w:outlineLvl w:val="1"/>
        <w:rPr>
          <w:rFonts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cols w:space="425" w:num="1"/>
          <w:titlePg/>
          <w:docGrid w:type="lines" w:linePitch="312" w:charSpace="0"/>
        </w:sectPr>
      </w:pPr>
    </w:p>
    <w:p w14:paraId="31762018">
      <w:pPr>
        <w:pStyle w:val="2"/>
        <w:jc w:val="center"/>
        <w:rPr>
          <w:sz w:val="52"/>
          <w:szCs w:val="52"/>
        </w:rPr>
      </w:pPr>
      <w:r>
        <w:rPr>
          <w:rFonts w:hint="eastAsia"/>
          <w:sz w:val="52"/>
          <w:szCs w:val="52"/>
        </w:rPr>
        <w:t>课时分配表</w:t>
      </w:r>
    </w:p>
    <w:tbl>
      <w:tblPr>
        <w:tblStyle w:val="6"/>
        <w:tblW w:w="10205" w:type="dxa"/>
        <w:jc w:val="center"/>
        <w:tblBorders>
          <w:top w:val="double" w:color="30C0B4" w:themeColor="accent5" w:sz="4" w:space="0"/>
          <w:left w:val="double" w:color="30C0B4" w:themeColor="accent5" w:sz="4" w:space="0"/>
          <w:bottom w:val="double" w:color="30C0B4" w:themeColor="accent5" w:sz="4" w:space="0"/>
          <w:right w:val="double" w:color="30C0B4" w:themeColor="accent5" w:sz="4" w:space="0"/>
          <w:insideH w:val="single" w:color="30C0B4" w:themeColor="accent5" w:sz="8" w:space="0"/>
          <w:insideV w:val="single" w:color="30C0B4" w:themeColor="accent5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7"/>
        <w:gridCol w:w="5269"/>
        <w:gridCol w:w="1735"/>
        <w:gridCol w:w="2024"/>
      </w:tblGrid>
      <w:tr w14:paraId="2B36A53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00B0F0"/>
          </w:tcPr>
          <w:p w14:paraId="1BBA158F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章序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00B0F0"/>
          </w:tcPr>
          <w:p w14:paraId="4CD9C473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课程内容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00B0F0"/>
          </w:tcPr>
          <w:p w14:paraId="59523DC7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课时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00B0F0"/>
          </w:tcPr>
          <w:p w14:paraId="4318D881">
            <w:pPr>
              <w:keepNext/>
              <w:keepLines/>
              <w:spacing w:line="48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8"/>
                <w:szCs w:val="28"/>
              </w:rPr>
              <w:t>备注</w:t>
            </w:r>
          </w:p>
        </w:tc>
      </w:tr>
      <w:tr w14:paraId="5BBB3F97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6A6C9BA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639C0E6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绪论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74E0D90F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0F4004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C2EC3D0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39836CA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01ED2D7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社区健康教育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02F641C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3C45C8A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1A31342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091AFA60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6B03F95B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社区健康档案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282190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240652CC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A4A594A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082698D5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4BC1CC4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家庭护理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64C7137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44429B3D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C341AA9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150357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1D1FD7F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儿童保健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69AC1DD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0B02243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465350C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5EFA69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75D645D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妇女保健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3843482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0833558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DBFF85C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9B0E3C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021E272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老年保健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59D0B3F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36942E4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5ECB91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78A7E5D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5C2881A1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社区疾病预防与控制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901DD5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79478D7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210A484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3585208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4F3E13AA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社区常见慢性病护理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1B85502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6461AC0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815BCCF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238422FD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1F3EFEE2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社区康复护理</w:t>
            </w: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4EC4D5B4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0473DAB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F32FC15">
        <w:tblPrEx>
          <w:tblBorders>
            <w:top w:val="double" w:color="30C0B4" w:themeColor="accent5" w:sz="4" w:space="0"/>
            <w:left w:val="double" w:color="30C0B4" w:themeColor="accent5" w:sz="4" w:space="0"/>
            <w:bottom w:val="double" w:color="30C0B4" w:themeColor="accent5" w:sz="4" w:space="0"/>
            <w:right w:val="double" w:color="30C0B4" w:themeColor="accent5" w:sz="4" w:space="0"/>
            <w:insideH w:val="single" w:color="30C0B4" w:themeColor="accent5" w:sz="8" w:space="0"/>
            <w:insideV w:val="single" w:color="30C0B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  <w:jc w:val="center"/>
        </w:trPr>
        <w:tc>
          <w:tcPr>
            <w:tcW w:w="1177" w:type="dxa"/>
            <w:tcBorders>
              <w:tl2br w:val="nil"/>
              <w:tr2bl w:val="nil"/>
            </w:tcBorders>
            <w:shd w:val="clear" w:color="auto" w:fill="FFFFFF"/>
          </w:tcPr>
          <w:p w14:paraId="5161CBA3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总计</w:t>
            </w:r>
          </w:p>
        </w:tc>
        <w:tc>
          <w:tcPr>
            <w:tcW w:w="5269" w:type="dxa"/>
            <w:tcBorders>
              <w:tl2br w:val="nil"/>
              <w:tr2bl w:val="nil"/>
            </w:tcBorders>
            <w:shd w:val="clear" w:color="auto" w:fill="FFFFFF"/>
          </w:tcPr>
          <w:p w14:paraId="2FCE00F6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35" w:type="dxa"/>
            <w:tcBorders>
              <w:tl2br w:val="nil"/>
              <w:tr2bl w:val="nil"/>
            </w:tcBorders>
            <w:shd w:val="clear" w:color="auto" w:fill="FFFFFF"/>
          </w:tcPr>
          <w:p w14:paraId="0D07A18E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2024" w:type="dxa"/>
            <w:tcBorders>
              <w:tl2br w:val="nil"/>
              <w:tr2bl w:val="nil"/>
            </w:tcBorders>
            <w:shd w:val="clear" w:color="auto" w:fill="FFFFFF"/>
          </w:tcPr>
          <w:p w14:paraId="78CD834C">
            <w:pPr>
              <w:keepNext/>
              <w:keepLines/>
              <w:spacing w:line="360" w:lineRule="auto"/>
              <w:jc w:val="center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61FDAD09">
      <w:pPr>
        <w:rPr>
          <w:rFonts w:hint="eastAsia" w:ascii="黑体" w:hAnsi="黑体" w:eastAsia="黑体" w:cs="黑体"/>
          <w:b/>
          <w:bCs/>
          <w:color w:val="000000" w:themeColor="text1"/>
          <w:sz w:val="44"/>
          <w:szCs w:val="44"/>
          <w14:textFill>
            <w14:solidFill>
              <w14:schemeClr w14:val="tx1"/>
            </w14:solidFill>
          </w14:textFill>
        </w:rPr>
      </w:pPr>
    </w:p>
    <w:bookmarkEnd w:id="0"/>
    <w:p w14:paraId="5B9EF731"/>
    <w:p w14:paraId="067BDACA"/>
    <w:p w14:paraId="0596A4F2"/>
    <w:p w14:paraId="37298A28"/>
    <w:p w14:paraId="2B5AF904"/>
    <w:p w14:paraId="67163086"/>
    <w:p w14:paraId="7CC254EA"/>
    <w:p w14:paraId="358F570A"/>
    <w:p w14:paraId="58940BAC"/>
    <w:p w14:paraId="3523E40C">
      <w:pPr>
        <w:rPr>
          <w:rFonts w:hint="eastAsia"/>
          <w:color w:val="6787B2"/>
        </w:rPr>
      </w:pPr>
      <w:r>
        <w:rPr>
          <w:rFonts w:hint="eastAsia"/>
          <w:color w:val="6787B2"/>
        </w:rPr>
        <w:br w:type="page"/>
      </w:r>
    </w:p>
    <w:p w14:paraId="3D248EB1">
      <w:pPr>
        <w:pStyle w:val="2"/>
        <w:jc w:val="center"/>
        <w:rPr>
          <w:color w:val="6787B2"/>
        </w:rPr>
      </w:pPr>
      <w:r>
        <w:rPr>
          <w:rFonts w:hint="eastAsia"/>
          <w:color w:val="6787B2"/>
        </w:rPr>
        <w:t>单元九 社区常见慢性病</w:t>
      </w:r>
      <w:r>
        <w:rPr>
          <w:rFonts w:hint="eastAsia"/>
          <w:color w:val="6787B2"/>
          <w:lang w:val="en-US" w:eastAsia="zh-CN"/>
        </w:rPr>
        <w:t>患者</w:t>
      </w:r>
      <w:r>
        <w:rPr>
          <w:rFonts w:hint="eastAsia"/>
          <w:color w:val="6787B2"/>
        </w:rPr>
        <w:t>的护理</w:t>
      </w:r>
    </w:p>
    <w:tbl>
      <w:tblPr>
        <w:tblStyle w:val="5"/>
        <w:tblpPr w:leftFromText="180" w:rightFromText="180" w:vertAnchor="page" w:horzAnchor="page" w:tblpX="1312" w:tblpY="2388"/>
        <w:tblOverlap w:val="never"/>
        <w:tblW w:w="9683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55"/>
        <w:gridCol w:w="1154"/>
        <w:gridCol w:w="245"/>
        <w:gridCol w:w="1349"/>
        <w:gridCol w:w="2787"/>
        <w:gridCol w:w="241"/>
        <w:gridCol w:w="1829"/>
        <w:gridCol w:w="1423"/>
      </w:tblGrid>
      <w:tr w14:paraId="01053F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3E82F31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教学课题及学时</w:t>
            </w:r>
          </w:p>
        </w:tc>
        <w:tc>
          <w:tcPr>
            <w:tcW w:w="4622" w:type="dxa"/>
            <w:gridSpan w:val="4"/>
            <w:vAlign w:val="center"/>
          </w:tcPr>
          <w:p w14:paraId="40B3BA0D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zh-CN"/>
              </w:rPr>
              <w:t>社区常见慢性病</w:t>
            </w:r>
            <w:r>
              <w:rPr>
                <w:rFonts w:hint="eastAsia" w:ascii="宋体" w:hAnsi="宋体" w:cs="宋体"/>
                <w:b/>
                <w:bCs/>
                <w:sz w:val="24"/>
                <w:szCs w:val="24"/>
                <w:lang w:val="en-US" w:eastAsia="zh-CN"/>
              </w:rPr>
              <w:t>患者</w:t>
            </w: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zh-CN"/>
              </w:rPr>
              <w:t>的护理</w:t>
            </w:r>
          </w:p>
        </w:tc>
        <w:tc>
          <w:tcPr>
            <w:tcW w:w="3252" w:type="dxa"/>
            <w:gridSpan w:val="2"/>
            <w:vAlign w:val="center"/>
          </w:tcPr>
          <w:p w14:paraId="677B51FD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4学时</w:t>
            </w:r>
          </w:p>
        </w:tc>
      </w:tr>
      <w:tr w14:paraId="62C119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3" w:hRule="atLeast"/>
        </w:trPr>
        <w:tc>
          <w:tcPr>
            <w:tcW w:w="655" w:type="dxa"/>
            <w:vMerge w:val="restart"/>
            <w:shd w:val="clear" w:color="auto" w:fill="BEEEF9"/>
            <w:vAlign w:val="center"/>
          </w:tcPr>
          <w:p w14:paraId="41738D2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</w:t>
            </w:r>
          </w:p>
          <w:p w14:paraId="08FB8B6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目标</w:t>
            </w:r>
          </w:p>
        </w:tc>
        <w:tc>
          <w:tcPr>
            <w:tcW w:w="1154" w:type="dxa"/>
            <w:shd w:val="clear" w:color="auto" w:fill="BEEEF9"/>
            <w:vAlign w:val="center"/>
          </w:tcPr>
          <w:p w14:paraId="3520D3F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知识目标</w:t>
            </w:r>
          </w:p>
        </w:tc>
        <w:tc>
          <w:tcPr>
            <w:tcW w:w="7874" w:type="dxa"/>
            <w:gridSpan w:val="6"/>
            <w:vAlign w:val="center"/>
          </w:tcPr>
          <w:p w14:paraId="4770EF9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知道社区高血压、冠心病、糖尿病病人的危险因素、临床特征。</w:t>
            </w:r>
          </w:p>
          <w:p w14:paraId="52A36E0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识记社区慢性病的概念，熟悉慢性病的自我管理。</w:t>
            </w:r>
          </w:p>
        </w:tc>
      </w:tr>
      <w:tr w14:paraId="4D84B1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5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24F7440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3CF8A2D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能力目标</w:t>
            </w:r>
          </w:p>
        </w:tc>
        <w:tc>
          <w:tcPr>
            <w:tcW w:w="7874" w:type="dxa"/>
            <w:gridSpan w:val="6"/>
            <w:vAlign w:val="center"/>
          </w:tcPr>
          <w:p w14:paraId="298B1E9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能对社区代谢综合征病人和高血压病人实施健康干预；</w:t>
            </w:r>
          </w:p>
          <w:p w14:paraId="5920771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能对社区冠心病病人和糖尿病病人实施居家护理。</w:t>
            </w:r>
          </w:p>
        </w:tc>
      </w:tr>
      <w:tr w14:paraId="01C40B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769D2B8A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069C56D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素质目标</w:t>
            </w:r>
          </w:p>
        </w:tc>
        <w:tc>
          <w:tcPr>
            <w:tcW w:w="7874" w:type="dxa"/>
            <w:gridSpan w:val="6"/>
            <w:vAlign w:val="center"/>
          </w:tcPr>
          <w:p w14:paraId="36BCBDA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良好的职业道德素养和健康宣教能力</w:t>
            </w:r>
          </w:p>
        </w:tc>
      </w:tr>
      <w:tr w14:paraId="2924C75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5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58F08BD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1F30842E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思政元素</w:t>
            </w:r>
          </w:p>
        </w:tc>
        <w:tc>
          <w:tcPr>
            <w:tcW w:w="7874" w:type="dxa"/>
            <w:gridSpan w:val="6"/>
            <w:vAlign w:val="center"/>
          </w:tcPr>
          <w:p w14:paraId="234BAC7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慢性病控制关系到国家的经济负担</w:t>
            </w:r>
          </w:p>
        </w:tc>
      </w:tr>
      <w:tr w14:paraId="506CB3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7" w:hRule="atLeast"/>
        </w:trPr>
        <w:tc>
          <w:tcPr>
            <w:tcW w:w="655" w:type="dxa"/>
            <w:vMerge w:val="restart"/>
            <w:shd w:val="clear" w:color="auto" w:fill="BEEEF9"/>
            <w:vAlign w:val="center"/>
          </w:tcPr>
          <w:p w14:paraId="0301557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教材</w:t>
            </w:r>
          </w:p>
          <w:p w14:paraId="65377FE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分析</w:t>
            </w:r>
          </w:p>
        </w:tc>
        <w:tc>
          <w:tcPr>
            <w:tcW w:w="1154" w:type="dxa"/>
            <w:shd w:val="clear" w:color="auto" w:fill="BEEEF9"/>
            <w:vAlign w:val="center"/>
          </w:tcPr>
          <w:p w14:paraId="1D33A9ED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参考教材</w:t>
            </w:r>
          </w:p>
        </w:tc>
        <w:tc>
          <w:tcPr>
            <w:tcW w:w="7874" w:type="dxa"/>
            <w:gridSpan w:val="6"/>
            <w:vAlign w:val="center"/>
          </w:tcPr>
          <w:p w14:paraId="620AB91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《社区护理》第三版，徐蓉、 尹红星主编，北京出版社</w:t>
            </w:r>
          </w:p>
        </w:tc>
      </w:tr>
      <w:tr w14:paraId="6B4950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98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753A9BA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64717FB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重点</w:t>
            </w:r>
          </w:p>
        </w:tc>
        <w:tc>
          <w:tcPr>
            <w:tcW w:w="7874" w:type="dxa"/>
            <w:gridSpan w:val="6"/>
            <w:vAlign w:val="center"/>
          </w:tcPr>
          <w:p w14:paraId="713DCF5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社区高血压、冠心病、糖尿病病人的健康干预。</w:t>
            </w:r>
          </w:p>
        </w:tc>
      </w:tr>
      <w:tr w14:paraId="52A3EE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1" w:hRule="atLeast"/>
        </w:trPr>
        <w:tc>
          <w:tcPr>
            <w:tcW w:w="655" w:type="dxa"/>
            <w:vMerge w:val="continue"/>
            <w:shd w:val="clear" w:color="auto" w:fill="BEEEF9"/>
            <w:vAlign w:val="center"/>
          </w:tcPr>
          <w:p w14:paraId="769B275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</w:p>
        </w:tc>
        <w:tc>
          <w:tcPr>
            <w:tcW w:w="1154" w:type="dxa"/>
            <w:shd w:val="clear" w:color="auto" w:fill="BEEEF9"/>
            <w:vAlign w:val="center"/>
          </w:tcPr>
          <w:p w14:paraId="39410E7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难点</w:t>
            </w:r>
          </w:p>
        </w:tc>
        <w:tc>
          <w:tcPr>
            <w:tcW w:w="7874" w:type="dxa"/>
            <w:gridSpan w:val="6"/>
            <w:vAlign w:val="center"/>
          </w:tcPr>
          <w:p w14:paraId="0FD3FD2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社区高血压、冠心病、糖尿病病人的健康干预。</w:t>
            </w:r>
          </w:p>
        </w:tc>
      </w:tr>
      <w:tr w14:paraId="6F4EE3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75F7FDB7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教学方法</w:t>
            </w:r>
          </w:p>
        </w:tc>
        <w:tc>
          <w:tcPr>
            <w:tcW w:w="7874" w:type="dxa"/>
            <w:gridSpan w:val="6"/>
            <w:vAlign w:val="center"/>
          </w:tcPr>
          <w:p w14:paraId="45CD47F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Cs/>
                <w:sz w:val="24"/>
                <w:szCs w:val="24"/>
              </w:rPr>
              <w:t>问题导入</w:t>
            </w:r>
            <w:r>
              <w:rPr>
                <w:rFonts w:hint="eastAsia" w:ascii="宋体" w:hAnsi="宋体" w:eastAsia="宋体" w:cs="宋体"/>
                <w:sz w:val="24"/>
                <w:szCs w:val="24"/>
                <w:lang w:val="zh-CN"/>
              </w:rPr>
              <w:t>、讲授法、案例法、讨论法</w:t>
            </w:r>
          </w:p>
        </w:tc>
      </w:tr>
      <w:tr w14:paraId="72DC76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0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408A544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教学手段</w:t>
            </w:r>
          </w:p>
        </w:tc>
        <w:tc>
          <w:tcPr>
            <w:tcW w:w="7874" w:type="dxa"/>
            <w:gridSpan w:val="6"/>
            <w:vAlign w:val="center"/>
          </w:tcPr>
          <w:p w14:paraId="15D04B1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职教云班课、多媒体课件、板书</w:t>
            </w:r>
          </w:p>
        </w:tc>
      </w:tr>
      <w:tr w14:paraId="34C927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9" w:hRule="atLeast"/>
        </w:trPr>
        <w:tc>
          <w:tcPr>
            <w:tcW w:w="1809" w:type="dxa"/>
            <w:gridSpan w:val="2"/>
            <w:shd w:val="clear" w:color="auto" w:fill="BEEEF9"/>
            <w:vAlign w:val="center"/>
          </w:tcPr>
          <w:p w14:paraId="0EC5CBE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学情分析</w:t>
            </w:r>
          </w:p>
        </w:tc>
        <w:tc>
          <w:tcPr>
            <w:tcW w:w="7874" w:type="dxa"/>
            <w:gridSpan w:val="6"/>
            <w:vAlign w:val="center"/>
          </w:tcPr>
          <w:p w14:paraId="552CDA8D">
            <w:pPr>
              <w:spacing w:line="360" w:lineRule="auto"/>
              <w:ind w:firstLine="120" w:firstLineChars="50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已经在内科护理里面学过慢性病相关知识</w:t>
            </w:r>
          </w:p>
        </w:tc>
      </w:tr>
      <w:tr w14:paraId="6E5CB8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8" w:hRule="atLeast"/>
        </w:trPr>
        <w:tc>
          <w:tcPr>
            <w:tcW w:w="9683" w:type="dxa"/>
            <w:gridSpan w:val="8"/>
            <w:shd w:val="clear" w:color="auto" w:fill="BEEEF9"/>
            <w:vAlign w:val="center"/>
          </w:tcPr>
          <w:p w14:paraId="23FAFA30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教学设计</w:t>
            </w:r>
          </w:p>
        </w:tc>
      </w:tr>
      <w:tr w14:paraId="4F53E0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8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76241DB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路径</w:t>
            </w:r>
          </w:p>
        </w:tc>
        <w:tc>
          <w:tcPr>
            <w:tcW w:w="4136" w:type="dxa"/>
            <w:gridSpan w:val="2"/>
            <w:shd w:val="clear" w:color="auto" w:fill="BEEEF9"/>
            <w:vAlign w:val="center"/>
          </w:tcPr>
          <w:p w14:paraId="62947029">
            <w:pPr>
              <w:spacing w:line="360" w:lineRule="auto"/>
              <w:ind w:firstLine="843" w:firstLineChars="350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教学内容及时间分配</w:t>
            </w:r>
          </w:p>
        </w:tc>
        <w:tc>
          <w:tcPr>
            <w:tcW w:w="2070" w:type="dxa"/>
            <w:gridSpan w:val="2"/>
            <w:shd w:val="clear" w:color="auto" w:fill="BEEEF9"/>
            <w:vAlign w:val="center"/>
          </w:tcPr>
          <w:p w14:paraId="739FB2C7">
            <w:pPr>
              <w:spacing w:line="360" w:lineRule="auto"/>
              <w:ind w:firstLine="361" w:firstLineChars="15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教师活动</w:t>
            </w:r>
          </w:p>
        </w:tc>
        <w:tc>
          <w:tcPr>
            <w:tcW w:w="1423" w:type="dxa"/>
            <w:shd w:val="clear" w:color="auto" w:fill="BEEEF9"/>
            <w:vAlign w:val="center"/>
          </w:tcPr>
          <w:p w14:paraId="509A6CFC">
            <w:pPr>
              <w:spacing w:line="360" w:lineRule="auto"/>
              <w:ind w:firstLine="241" w:firstLineChars="10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学生活动</w:t>
            </w:r>
          </w:p>
        </w:tc>
      </w:tr>
      <w:tr w14:paraId="20323A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3" w:hRule="atLeast"/>
        </w:trPr>
        <w:tc>
          <w:tcPr>
            <w:tcW w:w="2054" w:type="dxa"/>
            <w:gridSpan w:val="3"/>
            <w:shd w:val="clear" w:color="auto" w:fill="BEEEF9"/>
          </w:tcPr>
          <w:p w14:paraId="5FDB7038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课前准备</w:t>
            </w:r>
          </w:p>
          <w:p w14:paraId="006D081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1DCE5FF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复习提问</w:t>
            </w:r>
          </w:p>
          <w:p w14:paraId="427060F2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C440C49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9984DB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2E98533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3A7BFB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57255DA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E545087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3A23E0E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新课导入</w:t>
            </w:r>
          </w:p>
          <w:p w14:paraId="6233985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0675794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任务驱动</w:t>
            </w:r>
          </w:p>
          <w:p w14:paraId="4797C825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24E6053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2761E2C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146763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731E81C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10A242A1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BE2E6C4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ABBC399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604B889E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CC4EC8A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39B34D7D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2EB088B5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579487E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58DEE137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7972D3D8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535EFA4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1374F41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01E840F1">
            <w:pPr>
              <w:spacing w:line="360" w:lineRule="auto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</w:p>
          <w:p w14:paraId="4610063D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内容串讲</w:t>
            </w:r>
          </w:p>
          <w:p w14:paraId="6FCC1DD6">
            <w:pPr>
              <w:spacing w:line="360" w:lineRule="auto"/>
              <w:jc w:val="center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  <w:tc>
          <w:tcPr>
            <w:tcW w:w="4136" w:type="dxa"/>
            <w:gridSpan w:val="2"/>
          </w:tcPr>
          <w:p w14:paraId="04A19D1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签到</w:t>
            </w:r>
          </w:p>
          <w:p w14:paraId="471563D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AA3DDB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通过课件上4道选择题复习三级预防、疾病监测指标                     3min</w:t>
            </w:r>
          </w:p>
          <w:p w14:paraId="1B7D683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1.C三级预防：减少病残或死亡</w:t>
            </w:r>
          </w:p>
          <w:p w14:paraId="351391F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2.A一级预防：接种疫苗属于健康保护</w:t>
            </w:r>
          </w:p>
          <w:p w14:paraId="4AD3B35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3.A健康教育：通过健康教育提高全体居民的自我保护意识和自我保健能力是核心。</w:t>
            </w:r>
          </w:p>
          <w:p w14:paraId="36938E5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4.D慢性病 一段时间内的存活率。</w:t>
            </w:r>
          </w:p>
          <w:p w14:paraId="55C9280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1116EC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展示教学目标                2min </w:t>
            </w:r>
          </w:p>
          <w:p w14:paraId="34D2D6A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780A34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案例：某社区李先生，35岁，体型较肥胖，身高173cm，体重 80 kg。从事 IT 职业，近一月来经常感到头痛、头昏、心悸。来社区就诊，BP150/98mmHg 。</w:t>
            </w:r>
          </w:p>
          <w:p w14:paraId="3D04848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1.分析李先生可能出现的问题及原因。</w:t>
            </w:r>
          </w:p>
          <w:p w14:paraId="715D0F8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2.结合课本知识，写出对李先生进行健康教育的详细方案。</w:t>
            </w:r>
          </w:p>
          <w:p w14:paraId="1A2A6C4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要求学生自学新课内容，分析讨论，写出答案。                           25min</w:t>
            </w:r>
          </w:p>
          <w:p w14:paraId="688830A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讲解要点：                     15min  </w:t>
            </w:r>
          </w:p>
          <w:p w14:paraId="4BBFB9E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1.问题：目前高血压，远期冠心病、糖尿病的可能性。</w:t>
            </w:r>
          </w:p>
          <w:p w14:paraId="154CC6F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 原因：肥胖、劳累、缺乏体力活动、饮食不规律等（结合IT职业的工作特点）</w:t>
            </w:r>
          </w:p>
          <w:p w14:paraId="3D78B91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2.教育方案：工作劳逸结合，避免过劳，减轻压力；合理饮食，不吸烟不喝酒；多进行体育运动，加强身体锻炼，控制体重；积极控制高血压，科学用药。</w:t>
            </w:r>
          </w:p>
          <w:p w14:paraId="5B622B6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029070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任务一 慢性病病人的自我管理     20min</w:t>
            </w:r>
          </w:p>
          <w:p w14:paraId="20FEAEB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一、概念</w:t>
            </w:r>
          </w:p>
          <w:p w14:paraId="65819E4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（一）慢性病   具有下列一种或一种以上的特征即为慢性病：患病时间是长期的；病后常留下残疾；起因于不可恢复的病理状态；根据病情需要进行不同的康复训练，需要长期的医疗指导。</w:t>
            </w:r>
          </w:p>
          <w:p w14:paraId="38A14CE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（二）慢性病的自我管理及必要性</w:t>
            </w:r>
          </w:p>
          <w:p w14:paraId="1F0F13B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二、慢性病自我管理模式</w:t>
            </w:r>
          </w:p>
          <w:p w14:paraId="2074A50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三、慢性病的自我管理</w:t>
            </w:r>
          </w:p>
          <w:p w14:paraId="35ECE5C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（一）病人日常的自我管理</w:t>
            </w:r>
          </w:p>
          <w:p w14:paraId="5C38A98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1.生理调适   2.心理调适   3.行为矫正   4.自我诊断、自我预防    5.服药</w:t>
            </w:r>
          </w:p>
          <w:p w14:paraId="04CCD23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（二）社区对病人自我管理的支持     家人帮助、病友互助</w:t>
            </w:r>
          </w:p>
          <w:p w14:paraId="40A9AC4C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（三）医务人员对病人自我管理的支持和随访</w:t>
            </w:r>
          </w:p>
          <w:p w14:paraId="4843C66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（四）卫生系统对医生支持病人自我管理的支持</w:t>
            </w:r>
          </w:p>
          <w:p w14:paraId="6B1F8C1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44D9E4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任务二 代谢综合征病人的保健护理 20min</w:t>
            </w:r>
          </w:p>
          <w:p w14:paraId="20BCE61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MS概念  是多种代谢成分异常聚集的病理状态。最重要的特征是胰岛素抵抗及常伴有的高胰岛素血症。</w:t>
            </w:r>
          </w:p>
          <w:p w14:paraId="09D3452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一、代谢危险因素及代谢改变 </w:t>
            </w:r>
          </w:p>
          <w:p w14:paraId="0911231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危险因素   不良的饮食习惯、生活方式，如缺乏运动、抽烟、酗酒、暴饮暴食等。</w:t>
            </w:r>
          </w:p>
          <w:p w14:paraId="717B0F9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代谢改变   1．超重和腹部肥胖过多；  2．血脂异常；    3．高血压       </w:t>
            </w:r>
          </w:p>
          <w:p w14:paraId="19126B4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 4．低度炎症反应          5．胰岛素抵抗    6．高凝状态</w:t>
            </w:r>
          </w:p>
          <w:p w14:paraId="72AA3EA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二、护理干预 </w:t>
            </w:r>
          </w:p>
          <w:p w14:paraId="0832B84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（一）治疗性生活方式改变(TLSC)    根本和首要措施</w:t>
            </w:r>
          </w:p>
          <w:p w14:paraId="1CD36DF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（二）控制各项代谢危险因素   （针对上述项目干预）</w:t>
            </w:r>
          </w:p>
          <w:p w14:paraId="762E096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F2B6D2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006C4E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任务三 高血压病人的居家护理    25min</w:t>
            </w:r>
          </w:p>
          <w:p w14:paraId="3EBC04E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一、概述  概念、危险因素、临床表现</w:t>
            </w:r>
          </w:p>
          <w:p w14:paraId="4E14832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 xml:space="preserve">二、治疗新观念   1. 非药物疗法     </w:t>
            </w:r>
          </w:p>
          <w:p w14:paraId="03F877B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2. 药物治疗</w:t>
            </w:r>
          </w:p>
          <w:p w14:paraId="6E1472D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三、社区管理与病人的居家护理</w:t>
            </w:r>
          </w:p>
          <w:p w14:paraId="21860B5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（一）社区管理三级预防</w:t>
            </w:r>
          </w:p>
          <w:p w14:paraId="2E6D66F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（二）家庭环境要求</w:t>
            </w:r>
          </w:p>
          <w:p w14:paraId="3613D63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（三）病人自我管理</w:t>
            </w:r>
          </w:p>
          <w:p w14:paraId="320DD69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7ED69A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任务四 冠心病病人的居家护理   30min</w:t>
            </w:r>
          </w:p>
          <w:p w14:paraId="49FB9BA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一、概述  概念、危险因素、临床表现</w:t>
            </w:r>
          </w:p>
          <w:p w14:paraId="548F9AB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二、社区管理与病人的居家护理</w:t>
            </w:r>
          </w:p>
          <w:p w14:paraId="242FC6D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（一）社区管理三级预防</w:t>
            </w:r>
          </w:p>
          <w:p w14:paraId="57EBBD7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（二）家庭环境要求</w:t>
            </w:r>
          </w:p>
          <w:p w14:paraId="09D10B4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（三）病人自我管理</w:t>
            </w:r>
          </w:p>
          <w:p w14:paraId="33AB46D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CCA677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任务五 糖尿病病人的居家护理    30min</w:t>
            </w:r>
          </w:p>
          <w:p w14:paraId="0BF068F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一、概述  概念、危险因素、临床表现</w:t>
            </w:r>
          </w:p>
          <w:p w14:paraId="20F7CE0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二、治疗   1. 饮食疗法     2. 运动疗法    3. 药物治疗</w:t>
            </w:r>
          </w:p>
          <w:p w14:paraId="5DA7DDE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三、社区管理与病人的居家护理</w:t>
            </w:r>
          </w:p>
          <w:p w14:paraId="0BF7B37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（一）社区管理三级预防</w:t>
            </w:r>
          </w:p>
          <w:p w14:paraId="38ACB4F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（二）家庭环境要求</w:t>
            </w:r>
          </w:p>
          <w:p w14:paraId="54A6842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（三）病人自我管理</w:t>
            </w:r>
          </w:p>
          <w:p w14:paraId="132896A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72826E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任务六 恶性肿瘤病人的居家护理  5min</w:t>
            </w:r>
          </w:p>
        </w:tc>
        <w:tc>
          <w:tcPr>
            <w:tcW w:w="2070" w:type="dxa"/>
            <w:gridSpan w:val="2"/>
          </w:tcPr>
          <w:p w14:paraId="7A6992D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开启职教云班课</w:t>
            </w:r>
          </w:p>
          <w:p w14:paraId="3F33D013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1C22DC3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提问</w:t>
            </w:r>
            <w:bookmarkStart w:id="1" w:name="_GoBack"/>
            <w:bookmarkEnd w:id="1"/>
          </w:p>
          <w:p w14:paraId="516268E8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75F68AB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23F408A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F9BAE7F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2821919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409C18D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5532685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1F9B686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3DC1656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D51AB0C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11BC1FA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0ED6CC3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F723F9F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CFF74E0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F33A577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B5FBC3E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2C573AA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巡视指导检查</w:t>
            </w:r>
          </w:p>
          <w:p w14:paraId="3BF2EBC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14BA21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讲解</w:t>
            </w:r>
          </w:p>
          <w:p w14:paraId="7D95DE56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97F79DB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A72C710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04B7813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A4A1A6A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7E4201C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5B0B694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7590E87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6E8F24CF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4841C41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扼要讲授</w:t>
            </w:r>
          </w:p>
        </w:tc>
        <w:tc>
          <w:tcPr>
            <w:tcW w:w="1423" w:type="dxa"/>
          </w:tcPr>
          <w:p w14:paraId="5B3C914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手机签到</w:t>
            </w:r>
          </w:p>
          <w:p w14:paraId="3D9D2176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019843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回答问题</w:t>
            </w:r>
          </w:p>
          <w:p w14:paraId="7DF1C50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F1FE32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55AFC2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E8856F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F7CD95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3AA740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D325529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EF9E23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367DCB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28AA9D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CA3D11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39A1E2D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A84799F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173A7100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80DD53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5BA162C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4EF15260">
            <w:pPr>
              <w:widowControl/>
              <w:spacing w:line="360" w:lineRule="auto"/>
              <w:jc w:val="left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分析，讨论</w:t>
            </w:r>
          </w:p>
          <w:p w14:paraId="1AF2162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448918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对照修订答案</w:t>
            </w:r>
          </w:p>
          <w:p w14:paraId="7F03230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663DEF2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06CB94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60C26E4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2B3CD3B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5792F9F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3C8CFE9B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081053C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  <w:p w14:paraId="756AE077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听讲，做笔记</w:t>
            </w:r>
          </w:p>
        </w:tc>
      </w:tr>
      <w:tr w14:paraId="38931B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41E80D1B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课堂小结</w:t>
            </w:r>
          </w:p>
        </w:tc>
        <w:tc>
          <w:tcPr>
            <w:tcW w:w="7629" w:type="dxa"/>
            <w:gridSpan w:val="5"/>
            <w:vAlign w:val="center"/>
          </w:tcPr>
          <w:p w14:paraId="7E4BAF5A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整理高血压、冠心病、糖尿病病人居家护理要点      5min</w:t>
            </w:r>
          </w:p>
        </w:tc>
      </w:tr>
      <w:tr w14:paraId="1507A3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7E84E8E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课后拓学</w:t>
            </w:r>
          </w:p>
        </w:tc>
        <w:tc>
          <w:tcPr>
            <w:tcW w:w="7629" w:type="dxa"/>
            <w:gridSpan w:val="5"/>
            <w:vAlign w:val="center"/>
          </w:tcPr>
          <w:p w14:paraId="4BE7C1EE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完成习题集</w:t>
            </w:r>
          </w:p>
        </w:tc>
      </w:tr>
      <w:tr w14:paraId="1F8E15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8" w:hRule="atLeast"/>
        </w:trPr>
        <w:tc>
          <w:tcPr>
            <w:tcW w:w="2054" w:type="dxa"/>
            <w:gridSpan w:val="3"/>
            <w:shd w:val="clear" w:color="auto" w:fill="BEEEF9"/>
            <w:vAlign w:val="center"/>
          </w:tcPr>
          <w:p w14:paraId="61145506">
            <w:pPr>
              <w:spacing w:line="360" w:lineRule="auto"/>
              <w:jc w:val="center"/>
              <w:rPr>
                <w:rFonts w:hint="eastAsia" w:ascii="宋体" w:hAnsi="宋体" w:eastAsia="宋体" w:cs="宋体"/>
                <w:b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sz w:val="24"/>
                <w:szCs w:val="24"/>
              </w:rPr>
              <w:t>教学反思</w:t>
            </w:r>
          </w:p>
        </w:tc>
        <w:tc>
          <w:tcPr>
            <w:tcW w:w="7629" w:type="dxa"/>
            <w:gridSpan w:val="5"/>
          </w:tcPr>
          <w:p w14:paraId="2B6C3963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实施情况：</w:t>
            </w:r>
          </w:p>
          <w:p w14:paraId="71E26361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效果评价：</w:t>
            </w:r>
          </w:p>
          <w:p w14:paraId="0BE65D18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sz w:val="24"/>
                <w:szCs w:val="24"/>
              </w:rPr>
              <w:t>改进方案：</w:t>
            </w:r>
          </w:p>
        </w:tc>
      </w:tr>
      <w:tr w14:paraId="553646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3" w:hRule="atLeast"/>
        </w:trPr>
        <w:tc>
          <w:tcPr>
            <w:tcW w:w="3403" w:type="dxa"/>
            <w:gridSpan w:val="4"/>
            <w:shd w:val="clear" w:color="auto" w:fill="BEEEF9"/>
          </w:tcPr>
          <w:p w14:paraId="28DE5031">
            <w:pPr>
              <w:spacing w:line="360" w:lineRule="auto"/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4"/>
                <w:szCs w:val="24"/>
              </w:rPr>
              <w:t>教研室主任检查签字</w:t>
            </w:r>
          </w:p>
        </w:tc>
        <w:tc>
          <w:tcPr>
            <w:tcW w:w="6280" w:type="dxa"/>
            <w:gridSpan w:val="4"/>
          </w:tcPr>
          <w:p w14:paraId="73B72C95">
            <w:pPr>
              <w:spacing w:line="360" w:lineRule="auto"/>
              <w:rPr>
                <w:rFonts w:hint="eastAsia" w:ascii="宋体" w:hAnsi="宋体" w:eastAsia="宋体" w:cs="宋体"/>
                <w:sz w:val="24"/>
                <w:szCs w:val="24"/>
              </w:rPr>
            </w:pPr>
          </w:p>
        </w:tc>
      </w:tr>
    </w:tbl>
    <w:p w14:paraId="1E3EEF71">
      <w:pPr>
        <w:spacing w:line="300" w:lineRule="exact"/>
      </w:pPr>
    </w:p>
    <w:p w14:paraId="6F747AB2">
      <w:pPr>
        <w:spacing w:line="400" w:lineRule="exact"/>
      </w:pPr>
    </w:p>
    <w:p w14:paraId="6293E4CA">
      <w:pPr>
        <w:spacing w:line="300" w:lineRule="exact"/>
        <w:jc w:val="center"/>
        <w:rPr>
          <w:rFonts w:hint="eastAsia" w:ascii="宋体" w:hAnsi="宋体"/>
          <w:szCs w:val="21"/>
          <w:u w:val="single"/>
        </w:rPr>
      </w:pPr>
      <w:r>
        <w:rPr>
          <w:rFonts w:hint="eastAsia"/>
          <w:szCs w:val="21"/>
          <w:u w:val="single"/>
        </w:rPr>
        <w:t xml:space="preserve"> </w:t>
      </w:r>
    </w:p>
    <w:p w14:paraId="44E8FA89"/>
    <w:p w14:paraId="0B5CA288"/>
    <w:p w14:paraId="0A49DF41"/>
    <w:p w14:paraId="46809DF1"/>
    <w:p w14:paraId="3034E7DE"/>
    <w:p w14:paraId="1160B501"/>
    <w:p w14:paraId="6C917C4B"/>
    <w:p w14:paraId="3367F910"/>
    <w:p w14:paraId="1A8C9051"/>
    <w:p w14:paraId="31A35DB8"/>
    <w:p w14:paraId="715825E8"/>
    <w:p w14:paraId="3D825A1B"/>
    <w:p w14:paraId="1D2ECE37"/>
    <w:p w14:paraId="3AC25DBB"/>
    <w:p w14:paraId="0FAC16BB"/>
    <w:p w14:paraId="4C5F3EC9"/>
    <w:p w14:paraId="6497AA8C"/>
    <w:p w14:paraId="4A1AADAD"/>
    <w:p w14:paraId="2CFB783B"/>
    <w:p w14:paraId="2B47D41A"/>
    <w:p w14:paraId="1B5F59F8"/>
    <w:p w14:paraId="304332D0"/>
    <w:p w14:paraId="4CD2CA26"/>
    <w:p w14:paraId="5785ABDB"/>
    <w:p w14:paraId="3E4D3C78"/>
    <w:p w14:paraId="3B918000"/>
    <w:p w14:paraId="04A0C340"/>
    <w:p w14:paraId="120B9B9F"/>
    <w:p w14:paraId="47ED516E"/>
    <w:p w14:paraId="6EF468BA"/>
    <w:p w14:paraId="2C4D5C69"/>
    <w:p w14:paraId="37684B41"/>
    <w:p w14:paraId="3E52FC1A"/>
    <w:p w14:paraId="24649990"/>
    <w:p w14:paraId="0FD737FE"/>
    <w:p w14:paraId="6360AF11"/>
    <w:p w14:paraId="3244BBDC"/>
    <w:p w14:paraId="7FA78F5E"/>
    <w:p w14:paraId="17100DA0"/>
    <w:p w14:paraId="102A2133"/>
    <w:p w14:paraId="627BA751"/>
    <w:p w14:paraId="60A99866"/>
    <w:p w14:paraId="2427311D"/>
    <w:p w14:paraId="5DFDFFF4"/>
    <w:p w14:paraId="1E953952"/>
    <w:sectPr>
      <w:pgSz w:w="11906" w:h="16838"/>
      <w:pgMar w:top="567" w:right="170" w:bottom="850" w:left="170" w:header="567" w:footer="85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汉仪菱心体简">
    <w:altName w:val="华文宋体"/>
    <w:panose1 w:val="00000000000000000000"/>
    <w:charset w:val="86"/>
    <w:family w:val="auto"/>
    <w:pitch w:val="default"/>
    <w:sig w:usb0="00000000" w:usb1="00000000" w:usb2="00000002" w:usb3="00000000" w:csb0="00140001" w:csb1="00000000"/>
  </w:font>
  <w:font w:name="华文宋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8601DC">
    <w:pPr>
      <w:pStyle w:val="4"/>
      <w:pBdr>
        <w:bottom w:val="none" w:color="auto" w:sz="0" w:space="1"/>
      </w:pBd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-151130</wp:posOffset>
          </wp:positionH>
          <wp:positionV relativeFrom="paragraph">
            <wp:posOffset>-476250</wp:posOffset>
          </wp:positionV>
          <wp:extent cx="7640955" cy="10807700"/>
          <wp:effectExtent l="0" t="0" r="4445" b="12700"/>
          <wp:wrapNone/>
          <wp:docPr id="95" name="图片 95" descr="临床医生背景图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图片 95" descr="临床医生背景图片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40955" cy="1080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column">
                <wp:posOffset>162560</wp:posOffset>
              </wp:positionH>
              <wp:positionV relativeFrom="paragraph">
                <wp:posOffset>-2540</wp:posOffset>
              </wp:positionV>
              <wp:extent cx="7019925" cy="9953625"/>
              <wp:effectExtent l="6350" t="6350" r="9525" b="22225"/>
              <wp:wrapNone/>
              <wp:docPr id="98" name="矩形 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19925" cy="9953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73000"/>
                        </a:srgbClr>
                      </a:solidFill>
                      <a:ln>
                        <a:solidFill>
                          <a:srgbClr val="7EC1E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2.8pt;margin-top:-0.2pt;height:783.75pt;width:552.75pt;z-index:251662336;v-text-anchor:middle;mso-width-relative:page;mso-height-relative:page;" fillcolor="#FFFFFF" filled="t" stroked="t" coordsize="21600,21600" o:gfxdata="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1gxEK2QAAAAoBAAAPAAAA&#10;AAAAAAEAIAAAACIAAABkcnMvZG93bnJldi54bWxQSwECFAAUAAAACACHTuJAUfTsz4YCAAAYBQAA&#10;DgAAAAAAAAABACAAAAAoAQAAZHJzL2Uyb0RvYy54bWxQSwUGAAAAAAYABgBZAQAAIAYAAAAA&#10;">
              <v:fill on="t" opacity="47841f" focussize="0,0"/>
              <v:stroke weight="1pt" color="#7EC1E1 [3204]" miterlimit="8" joinstyle="miter"/>
              <v:imagedata o:title=""/>
              <o:lock v:ext="edit" aspectratio="f"/>
            </v:rect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921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59264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rPr>
        <w:rFonts w:hint="eastAsia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10160" b="12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1F021CC8">
    <w:pPr>
      <w:pStyle w:val="4"/>
      <w:pBdr>
        <w:bottom w:val="none" w:color="auto" w:sz="0" w:space="1"/>
      </w:pBdr>
    </w:pPr>
    <w:r>
      <w:rPr>
        <w:rFonts w:hint="eastAsia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8AF539">
    <w:pPr>
      <w:pStyle w:val="4"/>
      <w:pBdr>
        <w:bottom w:val="none" w:color="auto" w:sz="0" w:space="1"/>
      </w:pBdr>
    </w:pPr>
    <w:r>
      <w:rPr>
        <w:rFonts w:hint="eastAsia" w:eastAsiaTheme="minorEastAsia"/>
      </w:rPr>
      <w:drawing>
        <wp:anchor distT="0" distB="0" distL="114300" distR="114300" simplePos="0" relativeHeight="251663360" behindDoc="1" locked="0" layoutInCell="1" allowOverlap="1">
          <wp:simplePos x="0" y="0"/>
          <wp:positionH relativeFrom="column">
            <wp:posOffset>-224790</wp:posOffset>
          </wp:positionH>
          <wp:positionV relativeFrom="page">
            <wp:posOffset>0</wp:posOffset>
          </wp:positionV>
          <wp:extent cx="7676515" cy="7571105"/>
          <wp:effectExtent l="0" t="0" r="19685" b="0"/>
          <wp:wrapNone/>
          <wp:docPr id="3" name="图片 3" descr="1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19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76515" cy="7571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DE2YjQ1MGQ2Y2M4YTE5MDRjZWU0MGEzZjQ0MTFjYmYifQ=="/>
  </w:docVars>
  <w:rsids>
    <w:rsidRoot w:val="73A8A9ED"/>
    <w:rsid w:val="00006DCD"/>
    <w:rsid w:val="00027B3C"/>
    <w:rsid w:val="00063961"/>
    <w:rsid w:val="00074F6B"/>
    <w:rsid w:val="000A0D99"/>
    <w:rsid w:val="000A5A3A"/>
    <w:rsid w:val="000C37A5"/>
    <w:rsid w:val="00166F9E"/>
    <w:rsid w:val="001A2128"/>
    <w:rsid w:val="001A6A59"/>
    <w:rsid w:val="001B6FFF"/>
    <w:rsid w:val="001C3F9E"/>
    <w:rsid w:val="00232799"/>
    <w:rsid w:val="00246277"/>
    <w:rsid w:val="002C6933"/>
    <w:rsid w:val="0036582B"/>
    <w:rsid w:val="00386B78"/>
    <w:rsid w:val="00394086"/>
    <w:rsid w:val="003E624E"/>
    <w:rsid w:val="003F10A3"/>
    <w:rsid w:val="003F14C5"/>
    <w:rsid w:val="004164BF"/>
    <w:rsid w:val="004B7C50"/>
    <w:rsid w:val="004E4F59"/>
    <w:rsid w:val="004F129D"/>
    <w:rsid w:val="00522FC2"/>
    <w:rsid w:val="00535DF6"/>
    <w:rsid w:val="006223A2"/>
    <w:rsid w:val="00713370"/>
    <w:rsid w:val="007139D6"/>
    <w:rsid w:val="00742CE0"/>
    <w:rsid w:val="007B7D43"/>
    <w:rsid w:val="00804196"/>
    <w:rsid w:val="00825A11"/>
    <w:rsid w:val="00840792"/>
    <w:rsid w:val="00A001A1"/>
    <w:rsid w:val="00A432D9"/>
    <w:rsid w:val="00BB1E5B"/>
    <w:rsid w:val="00C123C7"/>
    <w:rsid w:val="00CC6E9D"/>
    <w:rsid w:val="00CE620E"/>
    <w:rsid w:val="00D01B97"/>
    <w:rsid w:val="00D41C61"/>
    <w:rsid w:val="00D87E74"/>
    <w:rsid w:val="00DA52C9"/>
    <w:rsid w:val="00DB5A98"/>
    <w:rsid w:val="00DF5F87"/>
    <w:rsid w:val="00E13145"/>
    <w:rsid w:val="00E16616"/>
    <w:rsid w:val="00F22A49"/>
    <w:rsid w:val="00F52374"/>
    <w:rsid w:val="00F946EB"/>
    <w:rsid w:val="201C25B4"/>
    <w:rsid w:val="22D25094"/>
    <w:rsid w:val="27353AD2"/>
    <w:rsid w:val="512A6927"/>
    <w:rsid w:val="73A8A9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39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3"/>
    <w:basedOn w:val="1"/>
    <w:next w:val="1"/>
    <w:link w:val="8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link w:val="9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8">
    <w:name w:val="标题 3 字符"/>
    <w:basedOn w:val="7"/>
    <w:link w:val="2"/>
    <w:qFormat/>
    <w:uiPriority w:val="9"/>
    <w:rPr>
      <w:rFonts w:ascii="Calibri" w:hAnsi="Calibri" w:eastAsia="宋体" w:cs="Times New Roman"/>
      <w:b/>
      <w:bCs/>
      <w:kern w:val="2"/>
      <w:sz w:val="32"/>
      <w:szCs w:val="32"/>
    </w:rPr>
  </w:style>
  <w:style w:type="character" w:customStyle="1" w:styleId="9">
    <w:name w:val="页脚 字符"/>
    <w:basedOn w:val="7"/>
    <w:link w:val="3"/>
    <w:qFormat/>
    <w:uiPriority w:val="0"/>
    <w:rPr>
      <w:rFonts w:ascii="Calibri" w:hAnsi="Calibri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7</Pages>
  <Words>1668</Words>
  <Characters>1758</Characters>
  <Lines>2265</Lines>
  <Paragraphs>1373</Paragraphs>
  <TotalTime>2</TotalTime>
  <ScaleCrop>false</ScaleCrop>
  <LinksUpToDate>false</LinksUpToDate>
  <CharactersWithSpaces>1989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2025-08-18T18:41:00Z</dcterms:created>
  <dc:creator>picchu</dc:creator>
  <cp:lastModifiedBy>嘟嘟</cp:lastModifiedBy>
  <dcterms:modified xsi:type="dcterms:W3CDTF">2025-08-20T02:15:11Z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0D1A69F4A211493F4603A368EA58F113_41</vt:lpwstr>
  </property>
  <property fmtid="{D5CDD505-2E9C-101B-9397-08002B2CF9AE}" pid="4" name="KSOTemplateDocerSaveRecord">
    <vt:lpwstr>eyJoZGlkIjoiNTRhMzg2OWJjMjI3MTg1NjMwMzY2YzM2YjFhZmRkZDkiLCJ1c2VySWQiOiI2NzMyNTM1ODMifQ==</vt:lpwstr>
  </property>
</Properties>
</file>